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5572" w14:textId="5A9B5573" w:rsidR="00B561F8" w:rsidRPr="008A2687" w:rsidRDefault="00B561F8" w:rsidP="008A2687">
      <w:pPr>
        <w:pStyle w:val="Title"/>
        <w:ind w:left="2160"/>
        <w:rPr>
          <w:rFonts w:ascii="Verdana" w:hAnsi="Verdana"/>
          <w:sz w:val="32"/>
          <w:szCs w:val="32"/>
        </w:rPr>
      </w:pPr>
      <w:r w:rsidRPr="008A2687">
        <w:rPr>
          <w:rFonts w:ascii="Verdana" w:hAnsi="Verdana"/>
          <w:noProof/>
          <w:sz w:val="32"/>
          <w:szCs w:val="32"/>
        </w:rPr>
        <w:drawing>
          <wp:anchor distT="0" distB="0" distL="114300" distR="114300" simplePos="0" relativeHeight="251667456" behindDoc="1" locked="0" layoutInCell="1" allowOverlap="1" wp14:anchorId="30C3B26D" wp14:editId="5EA0D517">
            <wp:simplePos x="0" y="0"/>
            <wp:positionH relativeFrom="margin">
              <wp:posOffset>102413</wp:posOffset>
            </wp:positionH>
            <wp:positionV relativeFrom="paragraph">
              <wp:posOffset>458</wp:posOffset>
            </wp:positionV>
            <wp:extent cx="661112" cy="581025"/>
            <wp:effectExtent l="0" t="0" r="5715"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Pr="008A2687">
        <w:rPr>
          <w:rFonts w:ascii="Verdana" w:hAnsi="Verdana"/>
          <w:sz w:val="32"/>
          <w:szCs w:val="32"/>
        </w:rPr>
        <w:t>Viewing Your Transfer Credit Report</w:t>
      </w:r>
    </w:p>
    <w:p w14:paraId="2027C52A" w14:textId="77777777" w:rsidR="00B561F8" w:rsidRDefault="00B561F8" w:rsidP="00B561F8">
      <w:pPr>
        <w:spacing w:after="600"/>
      </w:pPr>
      <w:r>
        <w:rPr>
          <w:noProof/>
        </w:rPr>
        <mc:AlternateContent>
          <mc:Choice Requires="wps">
            <w:drawing>
              <wp:inline distT="0" distB="0" distL="0" distR="0" wp14:anchorId="5B1BB6DC" wp14:editId="5142F827">
                <wp:extent cx="7048500" cy="0"/>
                <wp:effectExtent l="0" t="0" r="0" b="0"/>
                <wp:docPr id="31" name="Straight Connector 31"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95C295" id="Straight Connector 31" o:spid="_x0000_s1026" alt="&quot; &quot;" style="visibility:visible;mso-wrap-style:square;mso-left-percent:-10001;mso-top-percent:-10001;mso-position-horizontal:absolute;mso-position-horizontal-relative:char;mso-position-vertical:absolute;mso-position-vertical-relative:line;mso-left-percent:-10001;mso-top-percent:-10001" from="0,0" to="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" strokecolor="#5b9bd5 [3204]" strokeweight=".5pt">
                <v:stroke joinstyle="miter"/>
                <w10:anchorlock/>
              </v:line>
            </w:pict>
          </mc:Fallback>
        </mc:AlternateContent>
      </w:r>
    </w:p>
    <w:p w14:paraId="05E77C53" w14:textId="1CCE433E" w:rsidR="00144184" w:rsidRDefault="002A7FB2" w:rsidP="00144184">
      <w:r w:rsidRPr="002A7FB2">
        <w:t>Your transfer credit report shows credit granted for college courses taken at other institutions as well as credit received from other sources, such as Advanced Placement Exams and military experience.</w:t>
      </w:r>
      <w:r w:rsidR="00144184" w:rsidRPr="00144184">
        <w:t xml:space="preserve"> </w:t>
      </w:r>
    </w:p>
    <w:p w14:paraId="0D81C128" w14:textId="7BDC8A84" w:rsidR="004641EF" w:rsidRDefault="004641EF" w:rsidP="004641EF">
      <w:r w:rsidRPr="00992C05">
        <w:t xml:space="preserve">The Transfer Credit Report is divided into three sections: Course Credits, Test Credits, and Other Credits. </w:t>
      </w:r>
    </w:p>
    <w:p w14:paraId="1C993267" w14:textId="77777777" w:rsidR="00CB0AE7" w:rsidRPr="00267C9F" w:rsidRDefault="00CB0AE7" w:rsidP="00CB0AE7">
      <w:pPr>
        <w:pStyle w:val="Heading2"/>
      </w:pPr>
      <w:r w:rsidRPr="00267C9F">
        <w:rPr>
          <w:rStyle w:val="Heading2Char"/>
        </w:rPr>
        <w:t xml:space="preserve">Navigating to the </w:t>
      </w:r>
      <w:r w:rsidR="002A7FB2">
        <w:t>Transfer Credit Report</w:t>
      </w:r>
    </w:p>
    <w:p w14:paraId="0955454C" w14:textId="3DDF7881" w:rsidR="00B567ED" w:rsidRDefault="00B567ED" w:rsidP="00B567ED">
      <w:pPr>
        <w:pStyle w:val="numbers"/>
      </w:pPr>
      <w:r w:rsidRPr="0069436D">
        <w:t xml:space="preserve">From the Student Home Base, select the </w:t>
      </w:r>
      <w:r>
        <w:rPr>
          <w:b/>
          <w:bCs/>
        </w:rPr>
        <w:t>Transfer Credit</w:t>
      </w:r>
      <w:r w:rsidRPr="0069436D">
        <w:t xml:space="preserve"> button.</w:t>
      </w:r>
    </w:p>
    <w:p w14:paraId="411EC5A7" w14:textId="172FC300" w:rsidR="00904484" w:rsidRDefault="00904484" w:rsidP="00904484">
      <w:pPr>
        <w:pStyle w:val="numbers"/>
        <w:numPr>
          <w:ilvl w:val="0"/>
          <w:numId w:val="0"/>
        </w:numPr>
        <w:ind w:left="360"/>
      </w:pPr>
      <w:r>
        <w:rPr>
          <w:noProof/>
        </w:rPr>
        <w:drawing>
          <wp:inline distT="0" distB="0" distL="0" distR="0" wp14:anchorId="72CEB931" wp14:editId="0A0399D3">
            <wp:extent cx="2558206" cy="2637457"/>
            <wp:effectExtent l="0" t="0" r="0" b="0"/>
            <wp:docPr id="2" name="Picture 2" descr="Figure 1: Transfer Credit button within Student Hom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ransfer Credit button within Student Home Base"/>
                    <pic:cNvPicPr/>
                  </pic:nvPicPr>
                  <pic:blipFill rotWithShape="1">
                    <a:blip r:embed="rId11"/>
                    <a:srcRect r="5824"/>
                    <a:stretch/>
                  </pic:blipFill>
                  <pic:spPr bwMode="auto">
                    <a:xfrm>
                      <a:off x="0" y="0"/>
                      <a:ext cx="2573975" cy="2653714"/>
                    </a:xfrm>
                    <a:prstGeom prst="rect">
                      <a:avLst/>
                    </a:prstGeom>
                    <a:ln>
                      <a:noFill/>
                    </a:ln>
                    <a:extLst>
                      <a:ext uri="{53640926-AAD7-44D8-BBD7-CCE9431645EC}">
                        <a14:shadowObscured xmlns:a14="http://schemas.microsoft.com/office/drawing/2010/main"/>
                      </a:ext>
                    </a:extLst>
                  </pic:spPr>
                </pic:pic>
              </a:graphicData>
            </a:graphic>
          </wp:inline>
        </w:drawing>
      </w:r>
    </w:p>
    <w:p w14:paraId="1E589977" w14:textId="234700E1" w:rsidR="00D705F4" w:rsidRPr="0069436D" w:rsidRDefault="00D705F4" w:rsidP="00D42817">
      <w:pPr>
        <w:pStyle w:val="Tablecaption"/>
      </w:pPr>
      <w:r>
        <w:t xml:space="preserve">Figure 1: </w:t>
      </w:r>
      <w:r w:rsidRPr="00B75B96">
        <w:t xml:space="preserve">Transfer Credit </w:t>
      </w:r>
      <w:r>
        <w:t>button within Student Home Base</w:t>
      </w:r>
    </w:p>
    <w:p w14:paraId="43D810E5" w14:textId="77777777" w:rsidR="00B53C25" w:rsidRDefault="00217B15" w:rsidP="00152A03">
      <w:pPr>
        <w:pStyle w:val="Heading2"/>
        <w:spacing w:before="240"/>
      </w:pPr>
      <w:r>
        <w:t>Course Credits</w:t>
      </w:r>
    </w:p>
    <w:p w14:paraId="4F9744BD" w14:textId="3A7B72F0" w:rsidR="00AF0006" w:rsidRPr="004641EF" w:rsidRDefault="004641EF" w:rsidP="00992C05">
      <w:pPr>
        <w:keepNext/>
        <w:spacing w:after="0"/>
        <w:rPr>
          <w:b/>
          <w:bCs/>
        </w:rPr>
      </w:pPr>
      <w:r>
        <w:rPr>
          <w:noProof/>
        </w:rPr>
        <w:drawing>
          <wp:inline distT="0" distB="0" distL="0" distR="0" wp14:anchorId="2CF528BF" wp14:editId="0345B198">
            <wp:extent cx="6789420" cy="1735455"/>
            <wp:effectExtent l="0" t="0" r="0" b="0"/>
            <wp:docPr id="3" name="Picture 3" descr="Figure 2: Transfer Credit Report with the Course Credits section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Transfer Credit Report with the Course Credits section displayed."/>
                    <pic:cNvPicPr/>
                  </pic:nvPicPr>
                  <pic:blipFill rotWithShape="1">
                    <a:blip r:embed="rId12"/>
                    <a:srcRect l="1000"/>
                    <a:stretch/>
                  </pic:blipFill>
                  <pic:spPr bwMode="auto">
                    <a:xfrm>
                      <a:off x="0" y="0"/>
                      <a:ext cx="6789420" cy="1735455"/>
                    </a:xfrm>
                    <a:prstGeom prst="rect">
                      <a:avLst/>
                    </a:prstGeom>
                    <a:ln>
                      <a:noFill/>
                    </a:ln>
                    <a:extLst>
                      <a:ext uri="{53640926-AAD7-44D8-BBD7-CCE9431645EC}">
                        <a14:shadowObscured xmlns:a14="http://schemas.microsoft.com/office/drawing/2010/main"/>
                      </a:ext>
                    </a:extLst>
                  </pic:spPr>
                </pic:pic>
              </a:graphicData>
            </a:graphic>
          </wp:inline>
        </w:drawing>
      </w:r>
    </w:p>
    <w:p w14:paraId="4F183406" w14:textId="6434539C" w:rsidR="00271AF0" w:rsidRDefault="00AF0006" w:rsidP="00AF0006">
      <w:pPr>
        <w:pStyle w:val="Tablecaption"/>
      </w:pPr>
      <w:r>
        <w:t xml:space="preserve">Figure </w:t>
      </w:r>
      <w:r w:rsidR="00D705F4">
        <w:t>2</w:t>
      </w:r>
      <w:r>
        <w:t xml:space="preserve">: </w:t>
      </w:r>
      <w:r w:rsidRPr="00B75B96">
        <w:t>Transfer Credit Report with the Course Credits section displayed.</w:t>
      </w:r>
    </w:p>
    <w:p w14:paraId="446C792B" w14:textId="77777777" w:rsidR="004641EF" w:rsidRDefault="00124219" w:rsidP="00F94F84">
      <w:r w:rsidRPr="00124219">
        <w:t>Transfer credits are listed in groups according to the institution you are transferring credit from, the term the</w:t>
      </w:r>
      <w:r w:rsidR="00E70F17">
        <w:t>y were entered onto your record,</w:t>
      </w:r>
      <w:r w:rsidRPr="00124219">
        <w:t xml:space="preserve"> and the program/academic college you were enrolled in at that time.</w:t>
      </w:r>
      <w:r>
        <w:t xml:space="preserve"> </w:t>
      </w:r>
    </w:p>
    <w:p w14:paraId="614D3CDC" w14:textId="1B4B475F" w:rsidR="004641EF" w:rsidRDefault="00124219" w:rsidP="00F94F84">
      <w:r w:rsidRPr="00124219">
        <w:lastRenderedPageBreak/>
        <w:t xml:space="preserve">The header for each </w:t>
      </w:r>
      <w:r w:rsidR="007057EA">
        <w:t>group of courses</w:t>
      </w:r>
      <w:r w:rsidRPr="00124219">
        <w:t xml:space="preserve"> will contain your Penn State career and program as well as the abbreviated name of the institution where the coursework was completed.</w:t>
      </w:r>
      <w:r>
        <w:t xml:space="preserve"> </w:t>
      </w:r>
    </w:p>
    <w:p w14:paraId="4DCF80C9" w14:textId="1071300E" w:rsidR="006D4D0F" w:rsidRPr="00F94F84" w:rsidRDefault="00124219" w:rsidP="00F94F84">
      <w:pPr>
        <w:rPr>
          <w:noProof/>
          <w:szCs w:val="18"/>
        </w:rPr>
      </w:pPr>
      <w:r w:rsidRPr="00124219">
        <w:t>Below the header information is a table listing the academic term that the credit is being applied, the coursework taken at the source institution, and the Penn State equivalent course information.</w:t>
      </w:r>
    </w:p>
    <w:p w14:paraId="2C8C70FE" w14:textId="13D0AFCE" w:rsidR="00217B15" w:rsidRPr="00352EE8" w:rsidRDefault="00006D83" w:rsidP="00035877">
      <w:r>
        <w:t>Each transfer course will have a status of ei</w:t>
      </w:r>
      <w:r w:rsidR="006D4D0F">
        <w:t>ther Posted or Rejected.</w:t>
      </w:r>
      <w:r w:rsidR="004641EF">
        <w:t xml:space="preserve"> </w:t>
      </w:r>
      <w:r w:rsidR="006D4D0F">
        <w:t xml:space="preserve">Posted status </w:t>
      </w:r>
      <w:r w:rsidR="00115F29">
        <w:t>indicates</w:t>
      </w:r>
      <w:r w:rsidR="006D4D0F">
        <w:t xml:space="preserve"> that the</w:t>
      </w:r>
      <w:r w:rsidR="006D4D0F" w:rsidRPr="006D4D0F">
        <w:t xml:space="preserve"> transfer course is accepted as Penn State credit.</w:t>
      </w:r>
      <w:r w:rsidR="006D4D0F">
        <w:t xml:space="preserve"> Rejected status </w:t>
      </w:r>
      <w:r w:rsidR="00124219">
        <w:t xml:space="preserve">indicates </w:t>
      </w:r>
      <w:r w:rsidR="00124219" w:rsidRPr="00124219">
        <w:t>transfer course is not accepted as Penn State credit. This usually occurs because the grade earned was below a C or becau</w:t>
      </w:r>
      <w:r w:rsidR="00EA6ECE">
        <w:t>se</w:t>
      </w:r>
      <w:r w:rsidR="004641EF">
        <w:t xml:space="preserve"> the course is non-transferable. </w:t>
      </w:r>
    </w:p>
    <w:p w14:paraId="0359CA44" w14:textId="7C2D95E6" w:rsidR="004641EF" w:rsidRDefault="004641EF" w:rsidP="004641EF">
      <w:r w:rsidRPr="004641EF">
        <w:t xml:space="preserve">Credits from another institution can transfer into Penn State in a variety of ways. </w:t>
      </w:r>
      <w:r w:rsidR="00BD372A">
        <w:t>W</w:t>
      </w:r>
      <w:r w:rsidRPr="004641EF">
        <w:t xml:space="preserve">ork with </w:t>
      </w:r>
      <w:r w:rsidR="00BD372A">
        <w:t>your</w:t>
      </w:r>
      <w:r w:rsidRPr="004641EF">
        <w:t xml:space="preserve"> academic department to determine the usability of these credits within </w:t>
      </w:r>
      <w:r w:rsidR="00BD372A">
        <w:t>your</w:t>
      </w:r>
      <w:r w:rsidRPr="004641EF">
        <w:t xml:space="preserve"> degree program.</w:t>
      </w:r>
    </w:p>
    <w:p w14:paraId="26B13CAA" w14:textId="77777777" w:rsidR="004641EF" w:rsidRPr="004641EF" w:rsidRDefault="004641EF" w:rsidP="004641EF">
      <w:r w:rsidRPr="004641EF">
        <w:t>Explanations of transfer credit designations are found at </w:t>
      </w:r>
      <w:hyperlink r:id="rId13" w:tgtFrame="_blank" w:history="1">
        <w:r w:rsidRPr="004641EF">
          <w:rPr>
            <w:rStyle w:val="Hyperlink"/>
          </w:rPr>
          <w:t>Penn State Credit Equivalencies.</w:t>
        </w:r>
      </w:hyperlink>
    </w:p>
    <w:p w14:paraId="77116A61" w14:textId="77777777" w:rsidR="00124219" w:rsidRPr="004641EF" w:rsidRDefault="00124219" w:rsidP="008C392E">
      <w:pPr>
        <w:pStyle w:val="Heading3"/>
      </w:pPr>
      <w:r w:rsidRPr="004641EF">
        <w:t>Examples of Transfer Course Credits</w:t>
      </w:r>
    </w:p>
    <w:p w14:paraId="07F128FA" w14:textId="667D0511" w:rsidR="00596A1E" w:rsidRDefault="00124219" w:rsidP="00992C05">
      <w:r w:rsidRPr="00992C05">
        <w:t>In some cases, a single course from an external institution may be evaluated as two or more courses at Penn State. When this happens, you will see the credits divided between the equivalent courses.</w:t>
      </w:r>
      <w:r w:rsidR="00FF188E" w:rsidRPr="00992C05">
        <w:t xml:space="preserve"> </w:t>
      </w:r>
      <w:r w:rsidR="00596A1E" w:rsidRPr="00992C05">
        <w:t xml:space="preserve">In the image below, 4-credit CHE </w:t>
      </w:r>
      <w:r w:rsidR="000117A9">
        <w:t>220</w:t>
      </w:r>
      <w:r w:rsidR="00596A1E" w:rsidRPr="00992C05">
        <w:t xml:space="preserve"> taken at </w:t>
      </w:r>
      <w:r w:rsidR="000117A9" w:rsidRPr="000117A9">
        <w:t>Northampton County Area C</w:t>
      </w:r>
      <w:r w:rsidR="000117A9">
        <w:t xml:space="preserve">ommunity College </w:t>
      </w:r>
      <w:r w:rsidR="00596A1E" w:rsidRPr="00992C05">
        <w:t>transfers to Penn State as CHEM 11</w:t>
      </w:r>
      <w:r w:rsidR="000117A9">
        <w:t>2</w:t>
      </w:r>
      <w:r w:rsidR="00596A1E" w:rsidRPr="00992C05">
        <w:t xml:space="preserve"> (3 credits - direct equivalent) and CHEM </w:t>
      </w:r>
      <w:r w:rsidR="000117A9">
        <w:t>113</w:t>
      </w:r>
      <w:r w:rsidR="00596A1E" w:rsidRPr="00992C05">
        <w:t xml:space="preserve"> (1 credit </w:t>
      </w:r>
      <w:r w:rsidR="000117A9">
        <w:t>– direct equivalent</w:t>
      </w:r>
      <w:r w:rsidR="00596A1E" w:rsidRPr="00992C05">
        <w:t>).</w:t>
      </w:r>
    </w:p>
    <w:p w14:paraId="27F8642C" w14:textId="6EE19623" w:rsidR="00596A1E" w:rsidRDefault="000117A9" w:rsidP="009005DC">
      <w:pPr>
        <w:jc w:val="center"/>
      </w:pPr>
      <w:r>
        <w:rPr>
          <w:noProof/>
        </w:rPr>
        <w:drawing>
          <wp:inline distT="0" distB="0" distL="0" distR="0" wp14:anchorId="5F49BF03" wp14:editId="660D07F3">
            <wp:extent cx="6858000" cy="650875"/>
            <wp:effectExtent l="0" t="0" r="0" b="0"/>
            <wp:docPr id="1" name="Picture 1" descr="Figure 3: Image showing one incoming course that is posted to two equivalent courses at 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Image showing one incoming course that is posted to two equivalent courses at Penn State."/>
                    <pic:cNvPicPr/>
                  </pic:nvPicPr>
                  <pic:blipFill>
                    <a:blip r:embed="rId14"/>
                    <a:stretch>
                      <a:fillRect/>
                    </a:stretch>
                  </pic:blipFill>
                  <pic:spPr>
                    <a:xfrm>
                      <a:off x="0" y="0"/>
                      <a:ext cx="6858000" cy="650875"/>
                    </a:xfrm>
                    <a:prstGeom prst="rect">
                      <a:avLst/>
                    </a:prstGeom>
                  </pic:spPr>
                </pic:pic>
              </a:graphicData>
            </a:graphic>
          </wp:inline>
        </w:drawing>
      </w:r>
    </w:p>
    <w:p w14:paraId="30199820" w14:textId="00FC9BD5" w:rsidR="00596A1E" w:rsidRDefault="00596A1E" w:rsidP="00596A1E">
      <w:pPr>
        <w:pStyle w:val="Tablecaption"/>
        <w:rPr>
          <w:noProof/>
        </w:rPr>
      </w:pPr>
      <w:r>
        <w:t xml:space="preserve">Figure </w:t>
      </w:r>
      <w:r w:rsidR="00D42817">
        <w:t>3</w:t>
      </w:r>
      <w:r>
        <w:t xml:space="preserve">: </w:t>
      </w:r>
      <w:r w:rsidRPr="00F5652B">
        <w:t>Image showing one incoming course that is posted to two equivalent courses at Penn State.</w:t>
      </w:r>
    </w:p>
    <w:p w14:paraId="1A22EE4C" w14:textId="3DB6D02E" w:rsidR="0010022A" w:rsidRDefault="00596A1E" w:rsidP="009005DC">
      <w:r w:rsidRPr="00992C05">
        <w:t xml:space="preserve">Another example of a transfer course is ACCTG XFR100. This code </w:t>
      </w:r>
      <w:r w:rsidR="004E6D04" w:rsidRPr="00992C05">
        <w:t xml:space="preserve">indicates a transferrable </w:t>
      </w:r>
      <w:proofErr w:type="gramStart"/>
      <w:r w:rsidR="004E6D04" w:rsidRPr="00992C05">
        <w:t>Accounting</w:t>
      </w:r>
      <w:proofErr w:type="gramEnd"/>
      <w:r w:rsidR="004E6D04" w:rsidRPr="00992C05">
        <w:t xml:space="preserve"> course at the 100-course level.</w:t>
      </w:r>
    </w:p>
    <w:p w14:paraId="27A541CF" w14:textId="526EDD6D" w:rsidR="004E6D04" w:rsidRDefault="000117A9" w:rsidP="009005DC">
      <w:pPr>
        <w:keepNext/>
        <w:spacing w:before="0" w:after="0"/>
        <w:jc w:val="center"/>
      </w:pPr>
      <w:r>
        <w:rPr>
          <w:noProof/>
        </w:rPr>
        <w:drawing>
          <wp:inline distT="0" distB="0" distL="0" distR="0" wp14:anchorId="68AC584B" wp14:editId="6971DE2B">
            <wp:extent cx="6858000" cy="362585"/>
            <wp:effectExtent l="0" t="0" r="0" b="0"/>
            <wp:docPr id="13" name="Picture 13" descr="Figure 4: Image highlighting the equivalent course ACCTG XF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Image highlighting the equivalent course ACCTG XFR100."/>
                    <pic:cNvPicPr/>
                  </pic:nvPicPr>
                  <pic:blipFill>
                    <a:blip r:embed="rId15"/>
                    <a:stretch>
                      <a:fillRect/>
                    </a:stretch>
                  </pic:blipFill>
                  <pic:spPr>
                    <a:xfrm>
                      <a:off x="0" y="0"/>
                      <a:ext cx="6858000" cy="362585"/>
                    </a:xfrm>
                    <a:prstGeom prst="rect">
                      <a:avLst/>
                    </a:prstGeom>
                  </pic:spPr>
                </pic:pic>
              </a:graphicData>
            </a:graphic>
          </wp:inline>
        </w:drawing>
      </w:r>
    </w:p>
    <w:p w14:paraId="12D9E5E2" w14:textId="024E4B3D" w:rsidR="00124219" w:rsidRDefault="004E6D04" w:rsidP="004E6D04">
      <w:pPr>
        <w:pStyle w:val="Tablecaption"/>
        <w:rPr>
          <w:noProof/>
        </w:rPr>
      </w:pPr>
      <w:r>
        <w:t xml:space="preserve">Figure </w:t>
      </w:r>
      <w:r w:rsidR="00D42817">
        <w:t>4</w:t>
      </w:r>
      <w:r>
        <w:t xml:space="preserve">: </w:t>
      </w:r>
      <w:r w:rsidRPr="004873EB">
        <w:t>Image highlighting the equivalent course ACCTG XFR100</w:t>
      </w:r>
      <w:r>
        <w:t>.</w:t>
      </w:r>
    </w:p>
    <w:p w14:paraId="1CC2E186" w14:textId="3C6AF2F5" w:rsidR="004E6D04" w:rsidRDefault="00152F08" w:rsidP="00992C05">
      <w:r w:rsidRPr="00992C05">
        <w:t xml:space="preserve">In this last example, </w:t>
      </w:r>
      <w:r w:rsidR="00596A1E" w:rsidRPr="00992C05">
        <w:t xml:space="preserve">TRN XFRGEN is a transferable course not assigned a level or general education designation. Work with your academic department to determine the usability of these credits within your degree program. </w:t>
      </w:r>
    </w:p>
    <w:p w14:paraId="0077E3F2" w14:textId="1FC781C1" w:rsidR="004E6D04" w:rsidRDefault="008C392E" w:rsidP="009005DC">
      <w:pPr>
        <w:jc w:val="center"/>
      </w:pPr>
      <w:r>
        <w:rPr>
          <w:noProof/>
        </w:rPr>
        <w:drawing>
          <wp:inline distT="0" distB="0" distL="0" distR="0" wp14:anchorId="16AC840A" wp14:editId="269E1B2B">
            <wp:extent cx="6858000" cy="351790"/>
            <wp:effectExtent l="0" t="0" r="0" b="0"/>
            <wp:docPr id="11" name="Picture 11" descr="Figure 5: Image highlighting the equivalent course TRN XF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5: Image highlighting the equivalent course TRN XFR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351790"/>
                    </a:xfrm>
                    <a:prstGeom prst="rect">
                      <a:avLst/>
                    </a:prstGeom>
                    <a:noFill/>
                    <a:ln>
                      <a:noFill/>
                    </a:ln>
                  </pic:spPr>
                </pic:pic>
              </a:graphicData>
            </a:graphic>
          </wp:inline>
        </w:drawing>
      </w:r>
    </w:p>
    <w:p w14:paraId="635D57EC" w14:textId="40664D71" w:rsidR="004E6D04" w:rsidRDefault="004E6D04" w:rsidP="004E6D04">
      <w:pPr>
        <w:pStyle w:val="Tablecaption"/>
        <w:rPr>
          <w:noProof/>
        </w:rPr>
      </w:pPr>
      <w:r>
        <w:t xml:space="preserve">Figure </w:t>
      </w:r>
      <w:r w:rsidR="00D42817">
        <w:t>5</w:t>
      </w:r>
      <w:r>
        <w:t xml:space="preserve">: </w:t>
      </w:r>
      <w:r w:rsidRPr="00FC41B5">
        <w:t xml:space="preserve">Image highlighting the equivalent course </w:t>
      </w:r>
      <w:r>
        <w:t>TRN XFRGEN.</w:t>
      </w:r>
    </w:p>
    <w:p w14:paraId="290A32DA" w14:textId="77777777" w:rsidR="004E6D04" w:rsidRDefault="004E6D04" w:rsidP="00152F08">
      <w:pPr>
        <w:spacing w:before="360" w:after="0"/>
        <w:rPr>
          <w:noProof/>
        </w:rPr>
      </w:pPr>
    </w:p>
    <w:p w14:paraId="66CED040" w14:textId="77777777" w:rsidR="00B53C25" w:rsidRPr="00B3565C" w:rsidRDefault="002035D6" w:rsidP="00B3565C">
      <w:pPr>
        <w:pStyle w:val="Heading2"/>
      </w:pPr>
      <w:r>
        <w:lastRenderedPageBreak/>
        <w:t>Test Credits</w:t>
      </w:r>
    </w:p>
    <w:p w14:paraId="27181000" w14:textId="47F53E7D" w:rsidR="009007E1" w:rsidRPr="00992C05" w:rsidRDefault="002035D6" w:rsidP="00992C05">
      <w:r w:rsidRPr="00992C05">
        <w:t>The Test Credits section displays credits earned through examinations and includes the Test ID, Test Component,</w:t>
      </w:r>
      <w:r w:rsidR="00115F29">
        <w:t xml:space="preserve"> Description, </w:t>
      </w:r>
      <w:r w:rsidRPr="00992C05">
        <w:t>and Score as well as the Penn State equivalent course information</w:t>
      </w:r>
      <w:r w:rsidR="007057EA">
        <w:t>.</w:t>
      </w:r>
    </w:p>
    <w:p w14:paraId="7AC77704" w14:textId="3899A957" w:rsidR="00992C05" w:rsidRDefault="00BD372A" w:rsidP="00992C05">
      <w:pPr>
        <w:spacing w:after="0"/>
      </w:pPr>
      <w:r>
        <w:rPr>
          <w:noProof/>
        </w:rPr>
        <w:drawing>
          <wp:inline distT="0" distB="0" distL="0" distR="0" wp14:anchorId="088DE443" wp14:editId="32EB27C3">
            <wp:extent cx="6858000" cy="3181350"/>
            <wp:effectExtent l="0" t="0" r="0" b="0"/>
            <wp:docPr id="14" name="Picture 14" descr="Figure 6: Transfer Credit Report with the Test Credits section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6: Transfer Credit Report with the Test Credits section displayed."/>
                    <pic:cNvPicPr/>
                  </pic:nvPicPr>
                  <pic:blipFill>
                    <a:blip r:embed="rId17"/>
                    <a:stretch>
                      <a:fillRect/>
                    </a:stretch>
                  </pic:blipFill>
                  <pic:spPr>
                    <a:xfrm>
                      <a:off x="0" y="0"/>
                      <a:ext cx="6858000" cy="3181350"/>
                    </a:xfrm>
                    <a:prstGeom prst="rect">
                      <a:avLst/>
                    </a:prstGeom>
                  </pic:spPr>
                </pic:pic>
              </a:graphicData>
            </a:graphic>
          </wp:inline>
        </w:drawing>
      </w:r>
    </w:p>
    <w:p w14:paraId="444D7C66" w14:textId="6CCD6320" w:rsidR="00992C05" w:rsidRDefault="00992C05" w:rsidP="00992C05">
      <w:pPr>
        <w:pStyle w:val="Tablecaption"/>
      </w:pPr>
      <w:r>
        <w:t xml:space="preserve">Figure </w:t>
      </w:r>
      <w:r w:rsidR="00D42817">
        <w:t>6</w:t>
      </w:r>
      <w:r>
        <w:t xml:space="preserve">: </w:t>
      </w:r>
      <w:r w:rsidRPr="009A76A9">
        <w:t>Transfer Credit Report with the Test Credits section displayed.</w:t>
      </w:r>
    </w:p>
    <w:p w14:paraId="30C4DDE8" w14:textId="52AD81C4" w:rsidR="00F91F48" w:rsidRDefault="002035D6" w:rsidP="004E6D04">
      <w:pPr>
        <w:pStyle w:val="Heading2"/>
      </w:pPr>
      <w:r>
        <w:t>Other Credits</w:t>
      </w:r>
    </w:p>
    <w:p w14:paraId="0B81DDAF" w14:textId="0E37A07E" w:rsidR="004502FB" w:rsidRDefault="00124219" w:rsidP="00992C05">
      <w:pPr>
        <w:spacing w:after="0"/>
      </w:pPr>
      <w:r w:rsidRPr="00992C05">
        <w:t>The Other Credits section displays credits earned through other avenues. For example, you may receive credit based on a portfolio assessment or for educational experiences in the armed services. Work with your academic department to determine the usability of these credits within your degree program.</w:t>
      </w:r>
    </w:p>
    <w:p w14:paraId="09DA4D93" w14:textId="22A219CD" w:rsidR="00992C05" w:rsidRDefault="00BD372A" w:rsidP="00992C05">
      <w:pPr>
        <w:spacing w:after="0"/>
      </w:pPr>
      <w:r>
        <w:rPr>
          <w:noProof/>
        </w:rPr>
        <w:drawing>
          <wp:inline distT="0" distB="0" distL="0" distR="0" wp14:anchorId="3FC48A2A" wp14:editId="409FD24C">
            <wp:extent cx="6858000" cy="1376680"/>
            <wp:effectExtent l="0" t="0" r="0" b="0"/>
            <wp:docPr id="15" name="Picture 15" descr="Figure 7: Transfer Credit Report with the Other Credits section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7: Transfer Credit Report with the Other Credits section displayed"/>
                    <pic:cNvPicPr/>
                  </pic:nvPicPr>
                  <pic:blipFill>
                    <a:blip r:embed="rId18"/>
                    <a:stretch>
                      <a:fillRect/>
                    </a:stretch>
                  </pic:blipFill>
                  <pic:spPr>
                    <a:xfrm>
                      <a:off x="0" y="0"/>
                      <a:ext cx="6858000" cy="1376680"/>
                    </a:xfrm>
                    <a:prstGeom prst="rect">
                      <a:avLst/>
                    </a:prstGeom>
                  </pic:spPr>
                </pic:pic>
              </a:graphicData>
            </a:graphic>
          </wp:inline>
        </w:drawing>
      </w:r>
    </w:p>
    <w:p w14:paraId="0714AF8F" w14:textId="7DB25847" w:rsidR="00992C05" w:rsidRDefault="00992C05" w:rsidP="00992C05">
      <w:pPr>
        <w:pStyle w:val="Tablecaption"/>
      </w:pPr>
      <w:r>
        <w:t xml:space="preserve">Figure </w:t>
      </w:r>
      <w:r w:rsidR="00D42817">
        <w:t>7</w:t>
      </w:r>
      <w:r>
        <w:t xml:space="preserve">: </w:t>
      </w:r>
      <w:r w:rsidRPr="00656DAF">
        <w:t>Transfer Credit Report with the Other Credits section displayed</w:t>
      </w:r>
    </w:p>
    <w:p w14:paraId="09D4D362" w14:textId="44BE05F5" w:rsidR="009330DF" w:rsidRDefault="009330DF" w:rsidP="00992C05">
      <w:pPr>
        <w:pStyle w:val="Tablecaption"/>
      </w:pPr>
    </w:p>
    <w:p w14:paraId="06316587" w14:textId="05AA7B36" w:rsidR="00BD372A" w:rsidRDefault="00115F29" w:rsidP="00BD372A">
      <w:pPr>
        <w:pStyle w:val="Heading2"/>
      </w:pPr>
      <w:r>
        <w:t>View as</w:t>
      </w:r>
      <w:r w:rsidR="00BD372A">
        <w:t xml:space="preserve"> PDF</w:t>
      </w:r>
    </w:p>
    <w:p w14:paraId="462FEEDF" w14:textId="77777777" w:rsidR="00BD372A" w:rsidRDefault="00BD372A" w:rsidP="00BD372A">
      <w:r>
        <w:t xml:space="preserve">You may also print your Transfer Credit Report to a pdf by clicking the </w:t>
      </w:r>
      <w:r w:rsidRPr="00BD372A">
        <w:rPr>
          <w:b/>
          <w:bCs/>
        </w:rPr>
        <w:t>View Report as PDF</w:t>
      </w:r>
      <w:r>
        <w:t xml:space="preserve"> button located at the top of your Transfer Credit Report.</w:t>
      </w:r>
    </w:p>
    <w:p w14:paraId="4F9BF2A8" w14:textId="3DB79084" w:rsidR="00BD372A" w:rsidRPr="00992C05" w:rsidRDefault="00BD372A" w:rsidP="00BD372A">
      <w:r>
        <w:rPr>
          <w:noProof/>
        </w:rPr>
        <w:lastRenderedPageBreak/>
        <w:drawing>
          <wp:inline distT="0" distB="0" distL="0" distR="0" wp14:anchorId="2CB8EFF9" wp14:editId="65CFFB94">
            <wp:extent cx="1717803" cy="647065"/>
            <wp:effectExtent l="0" t="0" r="0" b="635"/>
            <wp:docPr id="16" name="Picture 16" descr="Figure 8: Transfer Credit Report – View Report as PDF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8: Transfer Credit Report – View Report as PDF button"/>
                    <pic:cNvPicPr/>
                  </pic:nvPicPr>
                  <pic:blipFill rotWithShape="1">
                    <a:blip r:embed="rId19"/>
                    <a:srcRect r="4988"/>
                    <a:stretch/>
                  </pic:blipFill>
                  <pic:spPr bwMode="auto">
                    <a:xfrm>
                      <a:off x="0" y="0"/>
                      <a:ext cx="1719274" cy="647619"/>
                    </a:xfrm>
                    <a:prstGeom prst="rect">
                      <a:avLst/>
                    </a:prstGeom>
                    <a:ln>
                      <a:noFill/>
                    </a:ln>
                    <a:extLst>
                      <a:ext uri="{53640926-AAD7-44D8-BBD7-CCE9431645EC}">
                        <a14:shadowObscured xmlns:a14="http://schemas.microsoft.com/office/drawing/2010/main"/>
                      </a:ext>
                    </a:extLst>
                  </pic:spPr>
                </pic:pic>
              </a:graphicData>
            </a:graphic>
          </wp:inline>
        </w:drawing>
      </w:r>
    </w:p>
    <w:p w14:paraId="757498F7" w14:textId="4094148A" w:rsidR="00800FBB" w:rsidRDefault="00800FBB" w:rsidP="00800FBB">
      <w:pPr>
        <w:pStyle w:val="Tablecaption"/>
      </w:pPr>
      <w:r>
        <w:t xml:space="preserve">Figure 8: </w:t>
      </w:r>
      <w:r w:rsidRPr="00656DAF">
        <w:t xml:space="preserve">Transfer Credit </w:t>
      </w:r>
      <w:r>
        <w:t>Report – View Report as PDF button</w:t>
      </w:r>
    </w:p>
    <w:p w14:paraId="48F75A0D" w14:textId="54467A97" w:rsidR="009330DF" w:rsidRDefault="009330DF" w:rsidP="00992C05">
      <w:pPr>
        <w:pStyle w:val="Tablecaption"/>
      </w:pPr>
    </w:p>
    <w:p w14:paraId="1D169493" w14:textId="784588ED" w:rsidR="003A03CB" w:rsidRDefault="003A03CB" w:rsidP="003A03CB">
      <w:pPr>
        <w:pStyle w:val="Heading2"/>
        <w:rPr>
          <w:sz w:val="24"/>
        </w:rPr>
      </w:pPr>
      <w:r>
        <w:t>Miscellaneous</w:t>
      </w:r>
      <w:r>
        <w:rPr>
          <w:spacing w:val="-8"/>
        </w:rPr>
        <w:t xml:space="preserve"> </w:t>
      </w:r>
      <w:r>
        <w:rPr>
          <w:spacing w:val="-2"/>
        </w:rPr>
        <w:t>Information</w:t>
      </w:r>
    </w:p>
    <w:p w14:paraId="064E9B5B" w14:textId="77777777" w:rsidR="003A03CB" w:rsidRDefault="003A03CB" w:rsidP="003A03CB">
      <w:pPr>
        <w:pStyle w:val="BodyText"/>
        <w:rPr>
          <w:rFonts w:ascii="Verdana" w:hAnsi="Verdana"/>
          <w:b/>
        </w:rPr>
      </w:pPr>
    </w:p>
    <w:p w14:paraId="10AA9E45" w14:textId="3F30718F" w:rsidR="003A03CB" w:rsidRPr="003A03CB" w:rsidRDefault="00800917" w:rsidP="00115F29">
      <w:pPr>
        <w:pStyle w:val="BodyText"/>
        <w:ind w:right="967"/>
        <w:rPr>
          <w:rFonts w:ascii="Verdana" w:hAnsi="Verdana"/>
          <w:sz w:val="24"/>
          <w:szCs w:val="24"/>
        </w:rPr>
      </w:pPr>
      <w:hyperlink r:id="rId20" w:history="1">
        <w:r w:rsidR="00115F29" w:rsidRPr="008676B9">
          <w:rPr>
            <w:rStyle w:val="Hyperlink"/>
            <w:rFonts w:ascii="Verdana" w:hAnsi="Verdana"/>
            <w:i/>
            <w:sz w:val="24"/>
            <w:szCs w:val="24"/>
          </w:rPr>
          <w:t>Crediteval@psu.edu</w:t>
        </w:r>
        <w:r w:rsidR="00115F29" w:rsidRPr="008676B9">
          <w:rPr>
            <w:rStyle w:val="Hyperlink"/>
            <w:rFonts w:ascii="Verdana" w:hAnsi="Verdana"/>
            <w:i/>
            <w:spacing w:val="-2"/>
            <w:sz w:val="24"/>
            <w:szCs w:val="24"/>
          </w:rPr>
          <w:t xml:space="preserve"> </w:t>
        </w:r>
      </w:hyperlink>
      <w:r w:rsidR="003A03CB" w:rsidRPr="003A03CB">
        <w:rPr>
          <w:rFonts w:ascii="Verdana" w:hAnsi="Verdana"/>
          <w:sz w:val="24"/>
          <w:szCs w:val="24"/>
        </w:rPr>
        <w:t>is</w:t>
      </w:r>
      <w:r w:rsidR="003A03CB" w:rsidRPr="003A03CB">
        <w:rPr>
          <w:rFonts w:ascii="Verdana" w:hAnsi="Verdana"/>
          <w:spacing w:val="-5"/>
          <w:sz w:val="24"/>
          <w:szCs w:val="24"/>
        </w:rPr>
        <w:t xml:space="preserve"> </w:t>
      </w:r>
      <w:r w:rsidR="003A03CB" w:rsidRPr="003A03CB">
        <w:rPr>
          <w:rFonts w:ascii="Verdana" w:hAnsi="Verdana"/>
          <w:sz w:val="24"/>
          <w:szCs w:val="24"/>
        </w:rPr>
        <w:t>the</w:t>
      </w:r>
      <w:r w:rsidR="003A03CB" w:rsidRPr="003A03CB">
        <w:rPr>
          <w:rFonts w:ascii="Verdana" w:hAnsi="Verdana"/>
          <w:spacing w:val="-6"/>
          <w:sz w:val="24"/>
          <w:szCs w:val="24"/>
        </w:rPr>
        <w:t xml:space="preserve"> </w:t>
      </w:r>
      <w:r w:rsidR="003A03CB" w:rsidRPr="003A03CB">
        <w:rPr>
          <w:rFonts w:ascii="Verdana" w:hAnsi="Verdana"/>
          <w:sz w:val="24"/>
          <w:szCs w:val="24"/>
        </w:rPr>
        <w:t>electronic</w:t>
      </w:r>
      <w:r w:rsidR="003A03CB" w:rsidRPr="003A03CB">
        <w:rPr>
          <w:rFonts w:ascii="Verdana" w:hAnsi="Verdana"/>
          <w:spacing w:val="-4"/>
          <w:sz w:val="24"/>
          <w:szCs w:val="24"/>
        </w:rPr>
        <w:t xml:space="preserve"> </w:t>
      </w:r>
      <w:r w:rsidR="003A03CB" w:rsidRPr="003A03CB">
        <w:rPr>
          <w:rFonts w:ascii="Verdana" w:hAnsi="Verdana"/>
          <w:sz w:val="24"/>
          <w:szCs w:val="24"/>
        </w:rPr>
        <w:t>mailbox</w:t>
      </w:r>
      <w:r w:rsidR="003A03CB" w:rsidRPr="003A03CB">
        <w:rPr>
          <w:rFonts w:ascii="Verdana" w:hAnsi="Verdana"/>
          <w:spacing w:val="-4"/>
          <w:sz w:val="24"/>
          <w:szCs w:val="24"/>
        </w:rPr>
        <w:t xml:space="preserve"> </w:t>
      </w:r>
      <w:r w:rsidR="003A03CB" w:rsidRPr="003A03CB">
        <w:rPr>
          <w:rFonts w:ascii="Verdana" w:hAnsi="Verdana"/>
          <w:sz w:val="24"/>
          <w:szCs w:val="24"/>
        </w:rPr>
        <w:t>monitored</w:t>
      </w:r>
      <w:r w:rsidR="003A03CB" w:rsidRPr="003A03CB">
        <w:rPr>
          <w:rFonts w:ascii="Verdana" w:hAnsi="Verdana"/>
          <w:spacing w:val="-2"/>
          <w:sz w:val="24"/>
          <w:szCs w:val="24"/>
        </w:rPr>
        <w:t xml:space="preserve"> </w:t>
      </w:r>
      <w:r w:rsidR="003A03CB" w:rsidRPr="003A03CB">
        <w:rPr>
          <w:rFonts w:ascii="Verdana" w:hAnsi="Verdana"/>
          <w:sz w:val="24"/>
          <w:szCs w:val="24"/>
        </w:rPr>
        <w:t>by</w:t>
      </w:r>
      <w:r w:rsidR="003A03CB" w:rsidRPr="003A03CB">
        <w:rPr>
          <w:rFonts w:ascii="Verdana" w:hAnsi="Verdana"/>
          <w:spacing w:val="-2"/>
          <w:sz w:val="24"/>
          <w:szCs w:val="24"/>
        </w:rPr>
        <w:t xml:space="preserve"> </w:t>
      </w:r>
      <w:r w:rsidR="003A03CB" w:rsidRPr="003A03CB">
        <w:rPr>
          <w:rFonts w:ascii="Verdana" w:hAnsi="Verdana"/>
          <w:sz w:val="24"/>
          <w:szCs w:val="24"/>
        </w:rPr>
        <w:t>UAO</w:t>
      </w:r>
      <w:r w:rsidR="003A03CB" w:rsidRPr="003A03CB">
        <w:rPr>
          <w:rFonts w:ascii="Verdana" w:hAnsi="Verdana"/>
          <w:spacing w:val="-2"/>
          <w:sz w:val="24"/>
          <w:szCs w:val="24"/>
        </w:rPr>
        <w:t xml:space="preserve"> </w:t>
      </w:r>
      <w:r w:rsidR="003A03CB" w:rsidRPr="003A03CB">
        <w:rPr>
          <w:rFonts w:ascii="Verdana" w:hAnsi="Verdana"/>
          <w:sz w:val="24"/>
          <w:szCs w:val="24"/>
        </w:rPr>
        <w:t>to</w:t>
      </w:r>
      <w:r w:rsidR="003A03CB" w:rsidRPr="003A03CB">
        <w:rPr>
          <w:rFonts w:ascii="Verdana" w:hAnsi="Verdana"/>
          <w:spacing w:val="-1"/>
          <w:sz w:val="24"/>
          <w:szCs w:val="24"/>
        </w:rPr>
        <w:t xml:space="preserve"> </w:t>
      </w:r>
      <w:r w:rsidR="003A03CB" w:rsidRPr="003A03CB">
        <w:rPr>
          <w:rFonts w:ascii="Verdana" w:hAnsi="Verdana"/>
          <w:sz w:val="24"/>
          <w:szCs w:val="24"/>
        </w:rPr>
        <w:t>process</w:t>
      </w:r>
      <w:r w:rsidR="003A03CB" w:rsidRPr="003A03CB">
        <w:rPr>
          <w:rFonts w:ascii="Verdana" w:hAnsi="Verdana"/>
          <w:spacing w:val="-5"/>
          <w:sz w:val="24"/>
          <w:szCs w:val="24"/>
        </w:rPr>
        <w:t xml:space="preserve"> </w:t>
      </w:r>
      <w:r w:rsidR="003A03CB" w:rsidRPr="003A03CB">
        <w:rPr>
          <w:rFonts w:ascii="Verdana" w:hAnsi="Verdana"/>
          <w:sz w:val="24"/>
          <w:szCs w:val="24"/>
        </w:rPr>
        <w:t>course</w:t>
      </w:r>
      <w:r w:rsidR="003A03CB" w:rsidRPr="003A03CB">
        <w:rPr>
          <w:rFonts w:ascii="Verdana" w:hAnsi="Verdana"/>
          <w:spacing w:val="-1"/>
          <w:sz w:val="24"/>
          <w:szCs w:val="24"/>
        </w:rPr>
        <w:t xml:space="preserve"> </w:t>
      </w:r>
      <w:r w:rsidR="003A03CB" w:rsidRPr="003A03CB">
        <w:rPr>
          <w:rFonts w:ascii="Verdana" w:hAnsi="Verdana"/>
          <w:sz w:val="24"/>
          <w:szCs w:val="24"/>
        </w:rPr>
        <w:t>syllabi</w:t>
      </w:r>
      <w:r w:rsidR="003A03CB" w:rsidRPr="003A03CB">
        <w:rPr>
          <w:rFonts w:ascii="Verdana" w:hAnsi="Verdana"/>
          <w:spacing w:val="-5"/>
          <w:sz w:val="24"/>
          <w:szCs w:val="24"/>
        </w:rPr>
        <w:t xml:space="preserve"> </w:t>
      </w:r>
      <w:r w:rsidR="003A03CB" w:rsidRPr="003A03CB">
        <w:rPr>
          <w:rFonts w:ascii="Verdana" w:hAnsi="Verdana"/>
          <w:sz w:val="24"/>
          <w:szCs w:val="24"/>
        </w:rPr>
        <w:t>sent</w:t>
      </w:r>
      <w:r w:rsidR="003A03CB" w:rsidRPr="003A03CB">
        <w:rPr>
          <w:rFonts w:ascii="Verdana" w:hAnsi="Verdana"/>
          <w:spacing w:val="-2"/>
          <w:sz w:val="24"/>
          <w:szCs w:val="24"/>
        </w:rPr>
        <w:t xml:space="preserve"> </w:t>
      </w:r>
      <w:r w:rsidR="003A03CB" w:rsidRPr="003A03CB">
        <w:rPr>
          <w:rFonts w:ascii="Verdana" w:hAnsi="Verdana"/>
          <w:sz w:val="24"/>
          <w:szCs w:val="24"/>
        </w:rPr>
        <w:t>by admitted students with TRN XFRPEN courses on their PSU record.</w:t>
      </w:r>
    </w:p>
    <w:p w14:paraId="7C8676FC" w14:textId="77777777" w:rsidR="003A03CB" w:rsidRPr="003A03CB" w:rsidRDefault="003A03CB" w:rsidP="003A03CB">
      <w:pPr>
        <w:pStyle w:val="BodyText"/>
        <w:ind w:left="100" w:right="967"/>
        <w:rPr>
          <w:rFonts w:ascii="Verdana" w:hAnsi="Verdana"/>
          <w:sz w:val="24"/>
          <w:szCs w:val="24"/>
        </w:rPr>
      </w:pPr>
    </w:p>
    <w:p w14:paraId="4D8F8B0C" w14:textId="45301E32" w:rsidR="003A03CB" w:rsidRDefault="00800917" w:rsidP="00115F29">
      <w:pPr>
        <w:pStyle w:val="BodyText"/>
        <w:ind w:right="801"/>
        <w:rPr>
          <w:rFonts w:ascii="Verdana" w:hAnsi="Verdana"/>
          <w:spacing w:val="-2"/>
          <w:sz w:val="24"/>
          <w:szCs w:val="24"/>
        </w:rPr>
      </w:pPr>
      <w:hyperlink r:id="rId21" w:history="1">
        <w:r w:rsidR="003A03CB" w:rsidRPr="003A03CB">
          <w:rPr>
            <w:rStyle w:val="Hyperlink"/>
            <w:rFonts w:ascii="Verdana" w:hAnsi="Verdana"/>
            <w:color w:val="0070C0"/>
            <w:spacing w:val="-2"/>
            <w:sz w:val="24"/>
            <w:szCs w:val="24"/>
          </w:rPr>
          <w:t>Transferring Credits to Penn State</w:t>
        </w:r>
      </w:hyperlink>
      <w:r w:rsidR="003A03CB" w:rsidRPr="003A03CB">
        <w:rPr>
          <w:rFonts w:ascii="Verdana" w:hAnsi="Verdana"/>
          <w:color w:val="0070C0"/>
          <w:spacing w:val="-2"/>
          <w:sz w:val="24"/>
          <w:szCs w:val="24"/>
        </w:rPr>
        <w:t xml:space="preserve"> </w:t>
      </w:r>
      <w:r w:rsidR="003A03CB" w:rsidRPr="003A03CB">
        <w:rPr>
          <w:rFonts w:ascii="Verdana" w:hAnsi="Verdana"/>
          <w:spacing w:val="-2"/>
          <w:sz w:val="24"/>
          <w:szCs w:val="24"/>
        </w:rPr>
        <w:t xml:space="preserve">provides a comprehensive review of transferring credit to Penn </w:t>
      </w:r>
      <w:r w:rsidR="007057EA">
        <w:rPr>
          <w:rFonts w:ascii="Verdana" w:hAnsi="Verdana"/>
          <w:spacing w:val="-2"/>
          <w:sz w:val="24"/>
          <w:szCs w:val="24"/>
        </w:rPr>
        <w:t>State.</w:t>
      </w:r>
    </w:p>
    <w:p w14:paraId="72D5421C" w14:textId="7A560E53" w:rsidR="00115F29" w:rsidRDefault="00115F29" w:rsidP="003A03CB">
      <w:pPr>
        <w:pStyle w:val="BodyText"/>
        <w:ind w:left="100" w:right="801"/>
        <w:rPr>
          <w:rFonts w:ascii="Verdana" w:hAnsi="Verdana"/>
          <w:spacing w:val="-2"/>
          <w:sz w:val="24"/>
          <w:szCs w:val="24"/>
        </w:rPr>
      </w:pPr>
    </w:p>
    <w:p w14:paraId="419A25E9" w14:textId="77777777" w:rsidR="00115F29" w:rsidRPr="004641EF" w:rsidRDefault="00115F29" w:rsidP="00115F29">
      <w:r w:rsidRPr="004641EF">
        <w:t>Explanations of transfer credit designations are found at </w:t>
      </w:r>
      <w:hyperlink r:id="rId22" w:tgtFrame="_blank" w:history="1">
        <w:r w:rsidRPr="004641EF">
          <w:rPr>
            <w:rStyle w:val="Hyperlink"/>
          </w:rPr>
          <w:t>Penn State Credit Equivalencies.</w:t>
        </w:r>
      </w:hyperlink>
    </w:p>
    <w:p w14:paraId="555D2C45" w14:textId="77777777" w:rsidR="003A03CB" w:rsidRDefault="003A03CB" w:rsidP="00115F29">
      <w:pPr>
        <w:pStyle w:val="BodyText"/>
        <w:ind w:right="801"/>
        <w:rPr>
          <w:rFonts w:ascii="Verdana" w:hAnsi="Verdana"/>
        </w:rPr>
      </w:pPr>
    </w:p>
    <w:p w14:paraId="717C204F" w14:textId="77777777" w:rsidR="003A03CB" w:rsidRDefault="003A03CB" w:rsidP="003A03CB">
      <w:pPr>
        <w:pStyle w:val="Heading2"/>
        <w:rPr>
          <w:sz w:val="24"/>
        </w:rPr>
      </w:pPr>
      <w:r>
        <w:t>Statement of Non-Discrimination</w:t>
      </w:r>
    </w:p>
    <w:p w14:paraId="41F0721B" w14:textId="77777777" w:rsidR="003A03CB" w:rsidRDefault="003A03CB" w:rsidP="00800FBB">
      <w:r>
        <w:rPr>
          <w:rFonts w:cs="Arial"/>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Pr>
          <w:rFonts w:cs="Arial"/>
        </w:rPr>
        <w:t>Boucke</w:t>
      </w:r>
      <w:proofErr w:type="spellEnd"/>
      <w:r>
        <w:rPr>
          <w:rFonts w:cs="Arial"/>
        </w:rPr>
        <w:t xml:space="preserve"> Building, University Park, PA 16802-5901, Email: </w:t>
      </w:r>
      <w:hyperlink r:id="rId23" w:history="1">
        <w:r>
          <w:rPr>
            <w:rStyle w:val="Hyperlink"/>
            <w:rFonts w:cs="Arial"/>
          </w:rPr>
          <w:t>aao@psu.edu</w:t>
        </w:r>
      </w:hyperlink>
      <w:r>
        <w:rPr>
          <w:rFonts w:cs="Arial"/>
        </w:rPr>
        <w:t>, Tel 814-863-0471.</w:t>
      </w:r>
    </w:p>
    <w:p w14:paraId="0580FBC8" w14:textId="77777777" w:rsidR="009330DF" w:rsidRDefault="009330DF" w:rsidP="009330DF"/>
    <w:p w14:paraId="2ED9D2D7" w14:textId="77777777" w:rsidR="009330DF" w:rsidRPr="00992C05" w:rsidRDefault="009330DF" w:rsidP="00992C05">
      <w:pPr>
        <w:pStyle w:val="Tablecaption"/>
      </w:pPr>
    </w:p>
    <w:sectPr w:rsidR="009330DF" w:rsidRPr="00992C05" w:rsidSect="003B0598">
      <w:type w:val="continuous"/>
      <w:pgSz w:w="12240" w:h="15840"/>
      <w:pgMar w:top="1382" w:right="562" w:bottom="274" w:left="1339"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A178" w14:textId="77777777" w:rsidR="00835EF0" w:rsidRDefault="00835EF0" w:rsidP="003608AF">
      <w:pPr>
        <w:spacing w:after="0" w:line="240" w:lineRule="auto"/>
      </w:pPr>
      <w:r>
        <w:separator/>
      </w:r>
    </w:p>
  </w:endnote>
  <w:endnote w:type="continuationSeparator" w:id="0">
    <w:p w14:paraId="6C3B72D1" w14:textId="77777777" w:rsidR="00835EF0" w:rsidRDefault="00835EF0"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5483" w14:textId="77777777" w:rsidR="00835EF0" w:rsidRDefault="00835EF0" w:rsidP="003608AF">
      <w:pPr>
        <w:spacing w:after="0" w:line="240" w:lineRule="auto"/>
      </w:pPr>
      <w:r>
        <w:separator/>
      </w:r>
    </w:p>
  </w:footnote>
  <w:footnote w:type="continuationSeparator" w:id="0">
    <w:p w14:paraId="11AC8B13" w14:textId="77777777" w:rsidR="00835EF0" w:rsidRDefault="00835EF0"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2DA"/>
    <w:multiLevelType w:val="hybridMultilevel"/>
    <w:tmpl w:val="E1C4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292"/>
    <w:multiLevelType w:val="hybridMultilevel"/>
    <w:tmpl w:val="08B0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EB4"/>
    <w:multiLevelType w:val="hybridMultilevel"/>
    <w:tmpl w:val="24D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1A2FA3"/>
    <w:multiLevelType w:val="hybridMultilevel"/>
    <w:tmpl w:val="66E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3749209">
    <w:abstractNumId w:val="5"/>
  </w:num>
  <w:num w:numId="2" w16cid:durableId="1970670305">
    <w:abstractNumId w:val="3"/>
  </w:num>
  <w:num w:numId="3" w16cid:durableId="431709712">
    <w:abstractNumId w:val="5"/>
    <w:lvlOverride w:ilvl="0">
      <w:startOverride w:val="1"/>
    </w:lvlOverride>
  </w:num>
  <w:num w:numId="4" w16cid:durableId="141896127">
    <w:abstractNumId w:val="5"/>
    <w:lvlOverride w:ilvl="0">
      <w:startOverride w:val="1"/>
    </w:lvlOverride>
  </w:num>
  <w:num w:numId="5" w16cid:durableId="1324771947">
    <w:abstractNumId w:val="0"/>
  </w:num>
  <w:num w:numId="6" w16cid:durableId="1048801445">
    <w:abstractNumId w:val="5"/>
  </w:num>
  <w:num w:numId="7" w16cid:durableId="1528789978">
    <w:abstractNumId w:val="5"/>
    <w:lvlOverride w:ilvl="0">
      <w:startOverride w:val="1"/>
    </w:lvlOverride>
  </w:num>
  <w:num w:numId="8" w16cid:durableId="251207726">
    <w:abstractNumId w:val="1"/>
  </w:num>
  <w:num w:numId="9" w16cid:durableId="729809097">
    <w:abstractNumId w:val="4"/>
  </w:num>
  <w:num w:numId="10" w16cid:durableId="621543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6D83"/>
    <w:rsid w:val="000117A9"/>
    <w:rsid w:val="0001673C"/>
    <w:rsid w:val="00025BFE"/>
    <w:rsid w:val="00035877"/>
    <w:rsid w:val="00036ED8"/>
    <w:rsid w:val="00037A1A"/>
    <w:rsid w:val="000644C2"/>
    <w:rsid w:val="00072AD2"/>
    <w:rsid w:val="00083B92"/>
    <w:rsid w:val="000A2216"/>
    <w:rsid w:val="000F5C43"/>
    <w:rsid w:val="0010022A"/>
    <w:rsid w:val="00110592"/>
    <w:rsid w:val="00115F29"/>
    <w:rsid w:val="00124219"/>
    <w:rsid w:val="00144184"/>
    <w:rsid w:val="00151290"/>
    <w:rsid w:val="00152A03"/>
    <w:rsid w:val="00152F08"/>
    <w:rsid w:val="00157C7D"/>
    <w:rsid w:val="00160647"/>
    <w:rsid w:val="0016383D"/>
    <w:rsid w:val="00166986"/>
    <w:rsid w:val="001A5D61"/>
    <w:rsid w:val="001E63FF"/>
    <w:rsid w:val="002035D6"/>
    <w:rsid w:val="00205A7C"/>
    <w:rsid w:val="00212F79"/>
    <w:rsid w:val="00217B15"/>
    <w:rsid w:val="00242D78"/>
    <w:rsid w:val="00244CE7"/>
    <w:rsid w:val="00271AF0"/>
    <w:rsid w:val="00284547"/>
    <w:rsid w:val="002A7FB2"/>
    <w:rsid w:val="002B6BD0"/>
    <w:rsid w:val="002F7A44"/>
    <w:rsid w:val="0030143A"/>
    <w:rsid w:val="00344DD0"/>
    <w:rsid w:val="00352451"/>
    <w:rsid w:val="00352EE8"/>
    <w:rsid w:val="00356050"/>
    <w:rsid w:val="003608AF"/>
    <w:rsid w:val="00372E71"/>
    <w:rsid w:val="003A03CB"/>
    <w:rsid w:val="003A1B81"/>
    <w:rsid w:val="003A6CD4"/>
    <w:rsid w:val="003B0598"/>
    <w:rsid w:val="00410736"/>
    <w:rsid w:val="00431A37"/>
    <w:rsid w:val="00440BB7"/>
    <w:rsid w:val="004502FB"/>
    <w:rsid w:val="004641EF"/>
    <w:rsid w:val="004849B7"/>
    <w:rsid w:val="0049447F"/>
    <w:rsid w:val="004B404E"/>
    <w:rsid w:val="004E6D04"/>
    <w:rsid w:val="005002D8"/>
    <w:rsid w:val="00522E4A"/>
    <w:rsid w:val="00546ECE"/>
    <w:rsid w:val="00551BEE"/>
    <w:rsid w:val="00595D88"/>
    <w:rsid w:val="00596A1E"/>
    <w:rsid w:val="005A37B6"/>
    <w:rsid w:val="005A4E73"/>
    <w:rsid w:val="005F448E"/>
    <w:rsid w:val="0060048A"/>
    <w:rsid w:val="00636F49"/>
    <w:rsid w:val="00656025"/>
    <w:rsid w:val="006572BC"/>
    <w:rsid w:val="006661AE"/>
    <w:rsid w:val="0066712F"/>
    <w:rsid w:val="00693A56"/>
    <w:rsid w:val="006D4D0F"/>
    <w:rsid w:val="007057EA"/>
    <w:rsid w:val="007074DA"/>
    <w:rsid w:val="00714B06"/>
    <w:rsid w:val="007265FC"/>
    <w:rsid w:val="00752A72"/>
    <w:rsid w:val="00762F57"/>
    <w:rsid w:val="00774D9D"/>
    <w:rsid w:val="0078715A"/>
    <w:rsid w:val="007A6955"/>
    <w:rsid w:val="007C44BF"/>
    <w:rsid w:val="007E1930"/>
    <w:rsid w:val="007F152F"/>
    <w:rsid w:val="00800917"/>
    <w:rsid w:val="00800FBB"/>
    <w:rsid w:val="0081226A"/>
    <w:rsid w:val="00817BC4"/>
    <w:rsid w:val="00835EF0"/>
    <w:rsid w:val="0085697E"/>
    <w:rsid w:val="00856AF5"/>
    <w:rsid w:val="00863E3D"/>
    <w:rsid w:val="0089513D"/>
    <w:rsid w:val="008A0ADC"/>
    <w:rsid w:val="008A2687"/>
    <w:rsid w:val="008C1FD3"/>
    <w:rsid w:val="008C392E"/>
    <w:rsid w:val="008D1D2D"/>
    <w:rsid w:val="008F53E9"/>
    <w:rsid w:val="009005DC"/>
    <w:rsid w:val="009007E1"/>
    <w:rsid w:val="00904484"/>
    <w:rsid w:val="009051EB"/>
    <w:rsid w:val="00925FD3"/>
    <w:rsid w:val="009330DF"/>
    <w:rsid w:val="009550DF"/>
    <w:rsid w:val="00956033"/>
    <w:rsid w:val="009626BE"/>
    <w:rsid w:val="009822B4"/>
    <w:rsid w:val="00992C05"/>
    <w:rsid w:val="009B5110"/>
    <w:rsid w:val="009D649E"/>
    <w:rsid w:val="00A139C7"/>
    <w:rsid w:val="00A145F8"/>
    <w:rsid w:val="00A31BCF"/>
    <w:rsid w:val="00A47156"/>
    <w:rsid w:val="00AF0006"/>
    <w:rsid w:val="00B27CAF"/>
    <w:rsid w:val="00B3565C"/>
    <w:rsid w:val="00B53C25"/>
    <w:rsid w:val="00B561F8"/>
    <w:rsid w:val="00B567ED"/>
    <w:rsid w:val="00B70FA6"/>
    <w:rsid w:val="00BD372A"/>
    <w:rsid w:val="00C03D5F"/>
    <w:rsid w:val="00C22344"/>
    <w:rsid w:val="00C32659"/>
    <w:rsid w:val="00C64C82"/>
    <w:rsid w:val="00CB0AE7"/>
    <w:rsid w:val="00CD4DB1"/>
    <w:rsid w:val="00CF35F6"/>
    <w:rsid w:val="00D05E59"/>
    <w:rsid w:val="00D42817"/>
    <w:rsid w:val="00D53E41"/>
    <w:rsid w:val="00D56959"/>
    <w:rsid w:val="00D6628B"/>
    <w:rsid w:val="00D705F4"/>
    <w:rsid w:val="00D750E9"/>
    <w:rsid w:val="00D82019"/>
    <w:rsid w:val="00DC35D5"/>
    <w:rsid w:val="00E05EB1"/>
    <w:rsid w:val="00E16156"/>
    <w:rsid w:val="00E40C48"/>
    <w:rsid w:val="00E64A99"/>
    <w:rsid w:val="00E70F17"/>
    <w:rsid w:val="00E94A6F"/>
    <w:rsid w:val="00EA6ECE"/>
    <w:rsid w:val="00EC6A58"/>
    <w:rsid w:val="00ED61D6"/>
    <w:rsid w:val="00F347BA"/>
    <w:rsid w:val="00F53EA9"/>
    <w:rsid w:val="00F6093E"/>
    <w:rsid w:val="00F63942"/>
    <w:rsid w:val="00F91F48"/>
    <w:rsid w:val="00F94F84"/>
    <w:rsid w:val="00FA25D9"/>
    <w:rsid w:val="00FA3AEC"/>
    <w:rsid w:val="00FE451E"/>
    <w:rsid w:val="00FF188E"/>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63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144184"/>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44184"/>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551BEE"/>
    <w:pPr>
      <w:ind w:left="720"/>
      <w:contextualSpacing/>
    </w:pPr>
  </w:style>
  <w:style w:type="character" w:styleId="Hyperlink">
    <w:name w:val="Hyperlink"/>
    <w:basedOn w:val="DefaultParagraphFont"/>
    <w:uiPriority w:val="99"/>
    <w:unhideWhenUsed/>
    <w:rsid w:val="00124219"/>
    <w:rPr>
      <w:color w:val="0563C1" w:themeColor="hyperlink"/>
      <w:u w:val="single"/>
    </w:rPr>
  </w:style>
  <w:style w:type="character" w:styleId="FollowedHyperlink">
    <w:name w:val="FollowedHyperlink"/>
    <w:basedOn w:val="DefaultParagraphFont"/>
    <w:uiPriority w:val="99"/>
    <w:semiHidden/>
    <w:unhideWhenUsed/>
    <w:rsid w:val="00596A1E"/>
    <w:rPr>
      <w:color w:val="954F72" w:themeColor="followedHyperlink"/>
      <w:u w:val="single"/>
    </w:rPr>
  </w:style>
  <w:style w:type="character" w:customStyle="1" w:styleId="UnresolvedMention1">
    <w:name w:val="Unresolved Mention1"/>
    <w:basedOn w:val="DefaultParagraphFont"/>
    <w:uiPriority w:val="99"/>
    <w:semiHidden/>
    <w:unhideWhenUsed/>
    <w:rsid w:val="00596A1E"/>
    <w:rPr>
      <w:color w:val="605E5C"/>
      <w:shd w:val="clear" w:color="auto" w:fill="E1DFDD"/>
    </w:rPr>
  </w:style>
  <w:style w:type="paragraph" w:styleId="BodyText">
    <w:name w:val="Body Text"/>
    <w:basedOn w:val="Normal"/>
    <w:link w:val="BodyTextChar"/>
    <w:uiPriority w:val="1"/>
    <w:semiHidden/>
    <w:unhideWhenUsed/>
    <w:qFormat/>
    <w:rsid w:val="003A03CB"/>
    <w:pPr>
      <w:widowControl w:val="0"/>
      <w:autoSpaceDE w:val="0"/>
      <w:autoSpaceDN w:val="0"/>
      <w:spacing w:before="0" w:after="0" w:line="240" w:lineRule="auto"/>
    </w:pPr>
    <w:rPr>
      <w:rFonts w:ascii="Calibri" w:eastAsia="Calibri" w:hAnsi="Calibri" w:cs="Calibri"/>
      <w:sz w:val="22"/>
    </w:rPr>
  </w:style>
  <w:style w:type="character" w:customStyle="1" w:styleId="BodyTextChar">
    <w:name w:val="Body Text Char"/>
    <w:basedOn w:val="DefaultParagraphFont"/>
    <w:link w:val="BodyText"/>
    <w:uiPriority w:val="1"/>
    <w:semiHidden/>
    <w:rsid w:val="003A03CB"/>
    <w:rPr>
      <w:rFonts w:ascii="Calibri" w:eastAsia="Calibri" w:hAnsi="Calibri" w:cs="Calibri"/>
    </w:rPr>
  </w:style>
  <w:style w:type="character" w:styleId="UnresolvedMention">
    <w:name w:val="Unresolved Mention"/>
    <w:basedOn w:val="DefaultParagraphFont"/>
    <w:uiPriority w:val="99"/>
    <w:semiHidden/>
    <w:unhideWhenUsed/>
    <w:rsid w:val="0046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7059">
      <w:bodyDiv w:val="1"/>
      <w:marLeft w:val="0"/>
      <w:marRight w:val="0"/>
      <w:marTop w:val="0"/>
      <w:marBottom w:val="0"/>
      <w:divBdr>
        <w:top w:val="none" w:sz="0" w:space="0" w:color="auto"/>
        <w:left w:val="none" w:sz="0" w:space="0" w:color="auto"/>
        <w:bottom w:val="none" w:sz="0" w:space="0" w:color="auto"/>
        <w:right w:val="none" w:sz="0" w:space="0" w:color="auto"/>
      </w:divBdr>
    </w:div>
    <w:div w:id="933519041">
      <w:bodyDiv w:val="1"/>
      <w:marLeft w:val="0"/>
      <w:marRight w:val="0"/>
      <w:marTop w:val="0"/>
      <w:marBottom w:val="0"/>
      <w:divBdr>
        <w:top w:val="none" w:sz="0" w:space="0" w:color="auto"/>
        <w:left w:val="none" w:sz="0" w:space="0" w:color="auto"/>
        <w:bottom w:val="none" w:sz="0" w:space="0" w:color="auto"/>
        <w:right w:val="none" w:sz="0" w:space="0" w:color="auto"/>
      </w:divBdr>
    </w:div>
    <w:div w:id="1150367694">
      <w:bodyDiv w:val="1"/>
      <w:marLeft w:val="0"/>
      <w:marRight w:val="0"/>
      <w:marTop w:val="0"/>
      <w:marBottom w:val="0"/>
      <w:divBdr>
        <w:top w:val="none" w:sz="0" w:space="0" w:color="auto"/>
        <w:left w:val="none" w:sz="0" w:space="0" w:color="auto"/>
        <w:bottom w:val="none" w:sz="0" w:space="0" w:color="auto"/>
        <w:right w:val="none" w:sz="0" w:space="0" w:color="auto"/>
      </w:divBdr>
    </w:div>
    <w:div w:id="11599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missions.psu.edu/info/future/transfer/transfer-credit-equivalencies/"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admissions.psu.edu/info/future/transfer/cred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Crediteval@psu.edu%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aao@psu.edu" TargetMode="Externa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admissions.psu.edu/info/future/transfer/transfer-credit-equival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axKeywordTaxHTField>
    <Document_x0020_Type xmlns="11f72a90-b3fb-4e7b-8a52-29164690f469">Training Document</Document_x0020_Type>
    <Module xmlns="11f72a90-b3fb-4e7b-8a52-29164690f469">Admissions</Module>
    <_Flow_SignoffStatus xmlns="11f72a90-b3fb-4e7b-8a52-29164690f469" xsi:nil="true"/>
    <TaxCatchAll xmlns="8f90cd31-690e-4b20-a1db-f9a77fae40d8" xsi:nil="true"/>
    <lcf76f155ced4ddcb4097134ff3c332f xmlns="11f72a90-b3fb-4e7b-8a52-29164690f4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7" ma:contentTypeDescription="Create a new document." ma:contentTypeScope="" ma:versionID="be3cd5c4a6f0e894e8b5fd94f7884862">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76959f08a141a9e45257b0b282220d6"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EDAE2-4B7D-48E5-83FC-21BE27EF73E2}">
  <ds:schemaRefs>
    <ds:schemaRef ds:uri="http://schemas.microsoft.com/office/2006/metadata/properties"/>
    <ds:schemaRef ds:uri="http://schemas.microsoft.com/office/infopath/2007/PartnerControls"/>
    <ds:schemaRef ds:uri="8f90cd31-690e-4b20-a1db-f9a77fae40d8"/>
    <ds:schemaRef ds:uri="11f72a90-b3fb-4e7b-8a52-29164690f469"/>
  </ds:schemaRefs>
</ds:datastoreItem>
</file>

<file path=customXml/itemProps2.xml><?xml version="1.0" encoding="utf-8"?>
<ds:datastoreItem xmlns:ds="http://schemas.openxmlformats.org/officeDocument/2006/customXml" ds:itemID="{418BADBB-C37E-49CA-B64C-F3088450B6C4}">
  <ds:schemaRefs>
    <ds:schemaRef ds:uri="http://schemas.microsoft.com/sharepoint/v3/contenttype/forms"/>
  </ds:schemaRefs>
</ds:datastoreItem>
</file>

<file path=customXml/itemProps3.xml><?xml version="1.0" encoding="utf-8"?>
<ds:datastoreItem xmlns:ds="http://schemas.openxmlformats.org/officeDocument/2006/customXml" ds:itemID="{794E646D-0AAD-4683-9F0F-F5F6C033A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2022-08-04T14:27:00Z</dcterms:created>
  <dcterms:modified xsi:type="dcterms:W3CDTF">2022-08-04T14:27:00Z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
  </property>
</Properties>
</file>